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Расчет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0"/>
        <w:jc w:val="center"/>
        <w:rPr>
          <w:b/>
          <w:i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налога на добычу </w:t>
      </w:r>
      <w:r>
        <w:rPr>
          <w:color w:val="000000"/>
          <w:sz w:val="28"/>
          <w:szCs w:val="28"/>
        </w:rPr>
        <w:t xml:space="preserve">прочих</w:t>
      </w:r>
      <w:r>
        <w:rPr>
          <w:color w:val="000000"/>
          <w:sz w:val="28"/>
          <w:szCs w:val="28"/>
        </w:rPr>
        <w:t xml:space="preserve"> полезных ископаемых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</w:t>
      </w:r>
      <w:r>
        <w:rPr>
          <w:color w:val="000000"/>
          <w:sz w:val="28"/>
          <w:szCs w:val="28"/>
        </w:rPr>
        <w:t xml:space="preserve">за исключением полезных ископаемых,</w:t>
      </w:r>
      <w:r>
        <w:rPr>
          <w:color w:val="000000"/>
          <w:sz w:val="28"/>
          <w:szCs w:val="28"/>
        </w:rPr>
        <w:t xml:space="preserve"> в отношении которых при налогообложении установлен</w:t>
      </w:r>
      <w:r>
        <w:rPr>
          <w:color w:val="000000"/>
          <w:sz w:val="28"/>
          <w:szCs w:val="28"/>
        </w:rPr>
        <w:t xml:space="preserve"> рен</w:t>
      </w:r>
      <w:r>
        <w:rPr>
          <w:color w:val="000000"/>
          <w:sz w:val="28"/>
          <w:szCs w:val="28"/>
        </w:rPr>
        <w:t xml:space="preserve">т</w:t>
      </w:r>
      <w:r>
        <w:rPr>
          <w:color w:val="000000"/>
          <w:sz w:val="28"/>
          <w:szCs w:val="28"/>
        </w:rPr>
        <w:t xml:space="preserve">ный коэффициент, отл</w:t>
      </w:r>
      <w:r>
        <w:rPr>
          <w:color w:val="000000"/>
          <w:sz w:val="28"/>
          <w:szCs w:val="28"/>
        </w:rPr>
        <w:t xml:space="preserve">ичный от 1</w:t>
      </w:r>
      <w:r>
        <w:rPr>
          <w:color w:val="000000"/>
          <w:sz w:val="28"/>
          <w:szCs w:val="28"/>
        </w:rPr>
        <w:t xml:space="preserve">, полезных ископ</w:t>
      </w:r>
      <w:r>
        <w:rPr>
          <w:color w:val="000000"/>
          <w:sz w:val="28"/>
          <w:szCs w:val="28"/>
        </w:rPr>
        <w:t xml:space="preserve">аемых в виде природных алмазов</w:t>
      </w:r>
      <w:r>
        <w:rPr>
          <w:color w:val="000000"/>
          <w:sz w:val="28"/>
          <w:szCs w:val="28"/>
        </w:rPr>
        <w:t xml:space="preserve">, угля в том числе коксующего,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компонентов в руде</w:t>
      </w:r>
      <w:r>
        <w:rPr>
          <w:color w:val="000000"/>
          <w:sz w:val="28"/>
          <w:szCs w:val="28"/>
        </w:rPr>
        <w:t xml:space="preserve">)</w:t>
      </w:r>
      <w:r>
        <w:rPr>
          <w:color w:val="000000"/>
          <w:sz w:val="28"/>
          <w:szCs w:val="28"/>
        </w:rPr>
        <w:t xml:space="preserve"> в областной бюджет на 20</w:t>
      </w:r>
      <w:r>
        <w:rPr>
          <w:color w:val="000000"/>
          <w:sz w:val="28"/>
          <w:szCs w:val="28"/>
        </w:rPr>
        <w:t xml:space="preserve">26</w:t>
      </w:r>
      <w:r>
        <w:rPr>
          <w:color w:val="000000"/>
          <w:sz w:val="28"/>
          <w:szCs w:val="28"/>
        </w:rPr>
        <w:t xml:space="preserve">–</w:t>
      </w:r>
      <w:r>
        <w:rPr>
          <w:color w:val="000000"/>
          <w:sz w:val="28"/>
          <w:szCs w:val="28"/>
        </w:rPr>
        <w:t xml:space="preserve">20</w:t>
      </w:r>
      <w:r>
        <w:rPr>
          <w:color w:val="000000"/>
          <w:sz w:val="28"/>
          <w:szCs w:val="28"/>
        </w:rPr>
        <w:t xml:space="preserve">2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годы</w:t>
      </w:r>
      <w:r>
        <w:rPr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2"/>
          <w:szCs w:val="22"/>
        </w:rPr>
        <w:t xml:space="preserve">(КБК </w:t>
      </w:r>
      <w:r>
        <w:rPr>
          <w:b/>
          <w:i/>
          <w:color w:val="000000"/>
          <w:sz w:val="22"/>
          <w:szCs w:val="22"/>
        </w:rPr>
        <w:t xml:space="preserve">107 01030 01 0000 110)</w:t>
      </w:r>
      <w:r>
        <w:rPr>
          <w:b/>
          <w:i/>
          <w:color w:val="000000"/>
          <w:sz w:val="22"/>
          <w:szCs w:val="22"/>
        </w:rPr>
      </w:r>
      <w:r>
        <w:rPr>
          <w:b/>
          <w:i/>
          <w:color w:val="000000"/>
          <w:sz w:val="22"/>
          <w:szCs w:val="22"/>
        </w:rPr>
      </w:r>
    </w:p>
    <w:p>
      <w:pPr>
        <w:pStyle w:val="87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70"/>
        <w:jc w:val="right"/>
      </w:pPr>
      <w:r>
        <w:rPr>
          <w:color w:val="000000"/>
          <w:sz w:val="28"/>
          <w:szCs w:val="28"/>
        </w:rPr>
        <w:t xml:space="preserve">(тыс.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рублей)</w:t>
      </w:r>
      <w:r/>
    </w:p>
    <w:tbl>
      <w:tblPr>
        <w:tblW w:w="10349" w:type="dxa"/>
        <w:tblInd w:w="-821" w:type="dxa"/>
        <w:tblLayout w:type="fixed"/>
        <w:tblCellMar>
          <w:left w:w="30" w:type="dxa"/>
          <w:top w:w="0" w:type="dxa"/>
          <w:right w:w="30" w:type="dxa"/>
          <w:bottom w:w="0" w:type="dxa"/>
        </w:tblCellMar>
        <w:tblLook w:val="04A0" w:firstRow="1" w:lastRow="0" w:firstColumn="1" w:lastColumn="0" w:noHBand="0" w:noVBand="1"/>
      </w:tblPr>
      <w:tblGrid>
        <w:gridCol w:w="456"/>
        <w:gridCol w:w="5356"/>
        <w:gridCol w:w="1558"/>
        <w:gridCol w:w="1463"/>
        <w:gridCol w:w="1516"/>
      </w:tblGrid>
      <w:tr>
        <w:tblPrEx/>
        <w:trPr>
          <w:trHeight w:val="435"/>
          <w:tblHeader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top"/>
            <w:textDirection w:val="lrTb"/>
            <w:noWrap w:val="false"/>
          </w:tcPr>
          <w:p>
            <w:pPr>
              <w:pStyle w:val="87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58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63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7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16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87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1.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Стоимость прогнозируемого о</w:t>
            </w:r>
            <w:r>
              <w:rPr>
                <w:color w:val="000000"/>
                <w:sz w:val="28"/>
                <w:szCs w:val="28"/>
              </w:rPr>
              <w:t xml:space="preserve">бъем</w:t>
            </w:r>
            <w:r>
              <w:rPr>
                <w:color w:val="000000"/>
                <w:sz w:val="28"/>
                <w:szCs w:val="28"/>
              </w:rPr>
              <w:t xml:space="preserve">а </w:t>
            </w:r>
            <w:r>
              <w:rPr>
                <w:color w:val="000000"/>
                <w:sz w:val="28"/>
                <w:szCs w:val="28"/>
              </w:rPr>
              <w:t xml:space="preserve">доб</w:t>
            </w:r>
            <w:r>
              <w:rPr>
                <w:color w:val="000000"/>
                <w:sz w:val="28"/>
                <w:szCs w:val="28"/>
              </w:rPr>
              <w:t xml:space="preserve">ы</w:t>
            </w:r>
            <w:r>
              <w:rPr>
                <w:color w:val="000000"/>
                <w:sz w:val="28"/>
                <w:szCs w:val="28"/>
              </w:rPr>
              <w:t xml:space="preserve">чи </w:t>
            </w:r>
            <w:r>
              <w:rPr>
                <w:sz w:val="28"/>
                <w:szCs w:val="28"/>
              </w:rPr>
              <w:t xml:space="preserve">неметаллического сырья, используемого в основном в строительной индустрии </w:t>
            </w:r>
            <w:r>
              <w:rPr>
                <w:color w:val="000000"/>
                <w:sz w:val="28"/>
                <w:szCs w:val="28"/>
              </w:rPr>
              <w:t xml:space="preserve">и другие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276 227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63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309 336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1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334 515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25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Ставка налога (%)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5,5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63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5,5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1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5,5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57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15 192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63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17 014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1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18 398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63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7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2.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jc w:val="both"/>
            </w:pPr>
            <w:r>
              <w:rPr>
                <w:color w:val="000000"/>
                <w:sz w:val="28"/>
                <w:szCs w:val="28"/>
              </w:rPr>
            </w:r>
            <w:r/>
          </w:p>
          <w:p>
            <w:pPr>
              <w:pStyle w:val="87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Стоимость прогнозируемого о</w:t>
            </w:r>
            <w:r>
              <w:rPr>
                <w:color w:val="000000"/>
                <w:sz w:val="28"/>
                <w:szCs w:val="28"/>
              </w:rPr>
              <w:t xml:space="preserve">бъем</w:t>
            </w:r>
            <w:r>
              <w:rPr>
                <w:color w:val="000000"/>
                <w:sz w:val="28"/>
                <w:szCs w:val="28"/>
              </w:rPr>
              <w:t xml:space="preserve">а</w:t>
            </w:r>
            <w:r>
              <w:rPr>
                <w:color w:val="000000"/>
                <w:sz w:val="28"/>
                <w:szCs w:val="28"/>
              </w:rPr>
              <w:t xml:space="preserve"> доб</w:t>
            </w:r>
            <w:r>
              <w:rPr>
                <w:color w:val="000000"/>
                <w:sz w:val="28"/>
                <w:szCs w:val="28"/>
              </w:rPr>
              <w:t xml:space="preserve">ы</w:t>
            </w:r>
            <w:r>
              <w:rPr>
                <w:color w:val="000000"/>
                <w:sz w:val="28"/>
                <w:szCs w:val="28"/>
              </w:rPr>
              <w:t xml:space="preserve">чи </w:t>
            </w:r>
            <w:r>
              <w:rPr>
                <w:color w:val="000000"/>
                <w:sz w:val="28"/>
                <w:szCs w:val="28"/>
              </w:rPr>
              <w:t xml:space="preserve">концентратов</w:t>
            </w:r>
            <w:r>
              <w:rPr>
                <w:color w:val="000000"/>
                <w:sz w:val="28"/>
                <w:szCs w:val="28"/>
              </w:rPr>
              <w:t xml:space="preserve"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содержащих </w:t>
            </w:r>
            <w:r>
              <w:rPr>
                <w:color w:val="000000"/>
                <w:sz w:val="28"/>
                <w:szCs w:val="28"/>
              </w:rPr>
              <w:t xml:space="preserve">в себе один или несколько драгоценных металлов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2 496 256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63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2 931 498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1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3 442 783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0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Ставка налога (%)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6,0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63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6,0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1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6,0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55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149 775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63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175 890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1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206 567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0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3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Стоимость прогнозируемого о</w:t>
            </w:r>
            <w:r>
              <w:rPr>
                <w:color w:val="000000"/>
                <w:sz w:val="28"/>
                <w:szCs w:val="28"/>
              </w:rPr>
              <w:t xml:space="preserve">бъем</w:t>
            </w:r>
            <w:r>
              <w:rPr>
                <w:color w:val="000000"/>
                <w:sz w:val="28"/>
                <w:szCs w:val="28"/>
              </w:rPr>
              <w:t xml:space="preserve">а</w:t>
            </w:r>
            <w:r>
              <w:rPr>
                <w:color w:val="000000"/>
                <w:sz w:val="28"/>
                <w:szCs w:val="28"/>
              </w:rPr>
              <w:t xml:space="preserve"> доб</w:t>
            </w:r>
            <w:r>
              <w:rPr>
                <w:color w:val="000000"/>
                <w:sz w:val="28"/>
                <w:szCs w:val="28"/>
              </w:rPr>
              <w:t xml:space="preserve">ы</w:t>
            </w:r>
            <w:r>
              <w:rPr>
                <w:color w:val="000000"/>
                <w:sz w:val="28"/>
                <w:szCs w:val="28"/>
              </w:rPr>
              <w:t xml:space="preserve">чи минеральных вод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3 323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63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3 323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1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3 323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Ставка налога (%)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7,5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63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7,5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1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7,5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9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63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1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9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Итого сумма налога на добычу прочих п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лезных ископаем</w:t>
            </w:r>
            <w:r>
              <w:rPr>
                <w:color w:val="000000"/>
                <w:sz w:val="28"/>
                <w:szCs w:val="28"/>
              </w:rPr>
              <w:t xml:space="preserve">ых 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165 216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63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193 153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1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225 214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3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Норматив отчислений в областной бю</w:t>
            </w:r>
            <w:r>
              <w:rPr>
                <w:color w:val="000000"/>
                <w:sz w:val="28"/>
                <w:szCs w:val="28"/>
              </w:rPr>
              <w:t xml:space="preserve">д</w:t>
            </w:r>
            <w:r>
              <w:rPr>
                <w:color w:val="000000"/>
                <w:sz w:val="28"/>
                <w:szCs w:val="28"/>
              </w:rPr>
              <w:t xml:space="preserve">жет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60,0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63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60,0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1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60,0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82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87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color w:val="000000"/>
                <w:sz w:val="28"/>
                <w:szCs w:val="28"/>
              </w:rPr>
              <w:t xml:space="preserve">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6" w:type="dxa"/>
            <w:vAlign w:val="bottom"/>
            <w:textDirection w:val="lrTb"/>
            <w:noWrap w:val="false"/>
          </w:tcPr>
          <w:p>
            <w:pPr>
              <w:pStyle w:val="8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налога, подлежащая зачисл</w:t>
            </w:r>
            <w:r>
              <w:rPr>
                <w:color w:val="000000"/>
                <w:sz w:val="28"/>
                <w:szCs w:val="28"/>
              </w:rPr>
              <w:t xml:space="preserve">е</w:t>
            </w:r>
            <w:r>
              <w:rPr>
                <w:color w:val="000000"/>
                <w:sz w:val="28"/>
                <w:szCs w:val="28"/>
              </w:rPr>
              <w:t xml:space="preserve">нию в областной бюджет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99 130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63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115 892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1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  <w:t xml:space="preserve">135 128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r>
        <w:rPr>
          <w:highlight w:val="none"/>
        </w:rPr>
      </w:r>
      <w:r>
        <w:rPr>
          <w:highlight w:val="none"/>
        </w:rPr>
      </w:r>
      <w:r/>
    </w:p>
    <w:p>
      <w:pPr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/>
      <w:r>
        <w:rPr>
          <w:highlight w:val="none"/>
        </w:rPr>
      </w:r>
    </w:p>
    <w:sectPr>
      <w:headerReference w:type="default" r:id="rId8"/>
      <w:headerReference w:type="even" r:id="rId9"/>
      <w:footnotePr/>
      <w:endnotePr/>
      <w:type w:val="nextPage"/>
      <w:pgSz w:w="11907" w:h="16840" w:orient="portrait"/>
      <w:pgMar w:top="426" w:right="567" w:bottom="425" w:left="1985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rPr>
        <w:rStyle w:val="875"/>
      </w:rPr>
      <w:framePr w:wrap="around" w:vAnchor="text" w:hAnchor="margin" w:xAlign="center" w:y="1"/>
    </w:pPr>
    <w:r>
      <w:rPr>
        <w:rStyle w:val="875"/>
      </w:rPr>
      <w:fldChar w:fldCharType="begin"/>
    </w:r>
    <w:r>
      <w:rPr>
        <w:rStyle w:val="875"/>
      </w:rPr>
      <w:instrText xml:space="preserve">PAGE  </w:instrText>
    </w:r>
    <w:r>
      <w:rPr>
        <w:rStyle w:val="875"/>
      </w:rPr>
      <w:fldChar w:fldCharType="separate"/>
    </w:r>
    <w:r>
      <w:rPr>
        <w:rStyle w:val="875"/>
      </w:rPr>
      <w:t xml:space="preserve">2</w:t>
    </w:r>
    <w:r>
      <w:rPr>
        <w:rStyle w:val="875"/>
      </w:rPr>
      <w:fldChar w:fldCharType="end"/>
    </w:r>
    <w:r>
      <w:rPr>
        <w:rStyle w:val="875"/>
      </w:rPr>
    </w:r>
    <w:r>
      <w:rPr>
        <w:rStyle w:val="875"/>
      </w:rPr>
    </w:r>
  </w:p>
  <w:p>
    <w:pPr>
      <w:pStyle w:val="87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rPr>
        <w:rStyle w:val="875"/>
      </w:rPr>
      <w:framePr w:wrap="around" w:vAnchor="text" w:hAnchor="margin" w:xAlign="center" w:y="1"/>
    </w:pPr>
    <w:r>
      <w:rPr>
        <w:rStyle w:val="875"/>
      </w:rPr>
      <w:fldChar w:fldCharType="begin"/>
    </w:r>
    <w:r>
      <w:rPr>
        <w:rStyle w:val="875"/>
      </w:rPr>
      <w:instrText xml:space="preserve">PAGE  </w:instrText>
    </w:r>
    <w:r>
      <w:rPr>
        <w:rStyle w:val="875"/>
      </w:rPr>
      <w:fldChar w:fldCharType="end"/>
    </w:r>
    <w:r>
      <w:rPr>
        <w:rStyle w:val="875"/>
      </w:rPr>
    </w:r>
    <w:r>
      <w:rPr>
        <w:rStyle w:val="875"/>
      </w:rPr>
    </w:r>
  </w:p>
  <w:p>
    <w:pPr>
      <w:pStyle w:val="87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70"/>
    <w:next w:val="870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70"/>
    <w:next w:val="870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70"/>
    <w:next w:val="870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870"/>
    <w:uiPriority w:val="34"/>
    <w:qFormat/>
    <w:pPr>
      <w:contextualSpacing/>
      <w:ind w:left="720"/>
    </w:pPr>
  </w:style>
  <w:style w:type="paragraph" w:styleId="711">
    <w:name w:val="No Spacing"/>
    <w:uiPriority w:val="1"/>
    <w:qFormat/>
    <w:pPr>
      <w:spacing w:before="0" w:after="0" w:line="240" w:lineRule="auto"/>
    </w:p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link w:val="724"/>
    <w:uiPriority w:val="35"/>
    <w:rPr>
      <w:b/>
      <w:bCs/>
      <w:color w:val="4f81bd" w:themeColor="accent1"/>
      <w:sz w:val="18"/>
      <w:szCs w:val="18"/>
    </w:rPr>
  </w:style>
  <w:style w:type="table" w:styleId="72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next w:val="870"/>
    <w:link w:val="870"/>
    <w:qFormat/>
    <w:rPr>
      <w:sz w:val="24"/>
      <w:szCs w:val="24"/>
      <w:lang w:val="ru-RU" w:eastAsia="ru-RU" w:bidi="ar-SA"/>
    </w:rPr>
  </w:style>
  <w:style w:type="character" w:styleId="871">
    <w:name w:val="Основной шрифт абзаца"/>
    <w:next w:val="871"/>
    <w:link w:val="870"/>
    <w:semiHidden/>
  </w:style>
  <w:style w:type="table" w:styleId="872">
    <w:name w:val="Обычная таблица"/>
    <w:next w:val="872"/>
    <w:link w:val="870"/>
    <w:semiHidden/>
    <w:tblPr/>
  </w:style>
  <w:style w:type="numbering" w:styleId="873">
    <w:name w:val="Нет списка"/>
    <w:next w:val="873"/>
    <w:link w:val="870"/>
    <w:semiHidden/>
  </w:style>
  <w:style w:type="paragraph" w:styleId="874">
    <w:name w:val="Верхний колонтитул"/>
    <w:basedOn w:val="870"/>
    <w:next w:val="874"/>
    <w:link w:val="870"/>
    <w:pPr>
      <w:tabs>
        <w:tab w:val="center" w:pos="4677" w:leader="none"/>
        <w:tab w:val="right" w:pos="9355" w:leader="none"/>
      </w:tabs>
    </w:pPr>
  </w:style>
  <w:style w:type="character" w:styleId="875">
    <w:name w:val="Номер страницы"/>
    <w:basedOn w:val="871"/>
    <w:next w:val="875"/>
    <w:link w:val="870"/>
  </w:style>
  <w:style w:type="paragraph" w:styleId="876">
    <w:name w:val="Текст выноски"/>
    <w:basedOn w:val="870"/>
    <w:next w:val="876"/>
    <w:link w:val="870"/>
    <w:semiHidden/>
    <w:rPr>
      <w:rFonts w:ascii="Tahoma" w:hAnsi="Tahoma" w:cs="Tahoma"/>
      <w:sz w:val="16"/>
      <w:szCs w:val="16"/>
    </w:rPr>
  </w:style>
  <w:style w:type="character" w:styleId="877" w:default="1">
    <w:name w:val="Default Paragraph Font"/>
    <w:uiPriority w:val="1"/>
    <w:semiHidden/>
    <w:unhideWhenUsed/>
  </w:style>
  <w:style w:type="numbering" w:styleId="878" w:default="1">
    <w:name w:val="No List"/>
    <w:uiPriority w:val="99"/>
    <w:semiHidden/>
    <w:unhideWhenUsed/>
  </w:style>
  <w:style w:type="table" w:styleId="87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МФ Оренбургской области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</dc:title>
  <dc:creator>mb2</dc:creator>
  <cp:lastModifiedBy>rti</cp:lastModifiedBy>
  <cp:revision>24</cp:revision>
  <dcterms:created xsi:type="dcterms:W3CDTF">2022-09-02T10:00:00Z</dcterms:created>
  <dcterms:modified xsi:type="dcterms:W3CDTF">2025-10-10T11:37:38Z</dcterms:modified>
  <cp:version>1048576</cp:version>
</cp:coreProperties>
</file>